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097202" w14:textId="2292DE59" w:rsidR="00532A90" w:rsidRDefault="00A27EE4" w:rsidP="00A27EE4">
      <w:pPr>
        <w:pStyle w:val="Title"/>
      </w:pPr>
      <w:r>
        <w:t xml:space="preserve">Melting Point </w:t>
      </w:r>
    </w:p>
    <w:p w14:paraId="7768AF94" w14:textId="064D51E9" w:rsidR="00A27EE4" w:rsidRDefault="00A27EE4" w:rsidP="00A27EE4">
      <w:pPr>
        <w:jc w:val="both"/>
      </w:pPr>
    </w:p>
    <w:p w14:paraId="5F4C037A" w14:textId="6D7CCD56" w:rsidR="00A27EE4" w:rsidRDefault="00A27EE4" w:rsidP="00A27EE4">
      <w:pPr>
        <w:jc w:val="both"/>
      </w:pPr>
      <w:r>
        <w:t xml:space="preserve">Determining the melting point of a molecule or compound is a useful tool for chemists when analysing a substance. For example the melting point can help qualitatively determine a substances purity. A pure </w:t>
      </w:r>
      <w:r w:rsidR="00443FF7" w:rsidRPr="005D4396">
        <w:t>non-ionic</w:t>
      </w:r>
      <w:r w:rsidR="005D4396" w:rsidRPr="005D4396">
        <w:t>, crystalline organic compound</w:t>
      </w:r>
      <w:r>
        <w:t xml:space="preserve"> should have a narrow melting point range, approximately 0.5 </w:t>
      </w:r>
      <w:proofErr w:type="spellStart"/>
      <w:r w:rsidRPr="00A27EE4">
        <w:rPr>
          <w:vertAlign w:val="superscript"/>
        </w:rPr>
        <w:t>o</w:t>
      </w:r>
      <w:r>
        <w:t>C.</w:t>
      </w:r>
      <w:proofErr w:type="spellEnd"/>
      <w:r>
        <w:t xml:space="preserve"> However a substance which is not pure will have a larger range in comparison and will also </w:t>
      </w:r>
      <w:r w:rsidR="005D4396">
        <w:t>likely</w:t>
      </w:r>
      <w:r>
        <w:t xml:space="preserve"> melt at a lower temperature. A quantitative comparison between a sample and literature value can also be used to identify a compound</w:t>
      </w:r>
      <w:r w:rsidR="005D4396">
        <w:t xml:space="preserve"> as pure compounds have characteristic melting point ranges. H</w:t>
      </w:r>
      <w:r>
        <w:t xml:space="preserve">owever it helps to have some idea as to what the compound might be! </w:t>
      </w:r>
    </w:p>
    <w:p w14:paraId="4C702BCE" w14:textId="0642FF44" w:rsidR="00A27EE4" w:rsidRDefault="00A27EE4" w:rsidP="00A27EE4"/>
    <w:p w14:paraId="53479830" w14:textId="6E9E6F29" w:rsidR="005D4396" w:rsidRPr="0027103F" w:rsidRDefault="005D4396" w:rsidP="00A27EE4">
      <w:pPr>
        <w:rPr>
          <w:b/>
          <w:bCs/>
        </w:rPr>
      </w:pPr>
      <w:r w:rsidRPr="0027103F">
        <w:rPr>
          <w:b/>
          <w:bCs/>
        </w:rPr>
        <w:t>How to measure</w:t>
      </w:r>
      <w:r w:rsidR="0027103F">
        <w:rPr>
          <w:b/>
          <w:bCs/>
        </w:rPr>
        <w:t xml:space="preserve"> a</w:t>
      </w:r>
      <w:r w:rsidRPr="0027103F">
        <w:rPr>
          <w:b/>
          <w:bCs/>
        </w:rPr>
        <w:t xml:space="preserve"> melting point</w:t>
      </w:r>
    </w:p>
    <w:p w14:paraId="118C8B2D" w14:textId="311DEC15" w:rsidR="005D4396" w:rsidRDefault="005D4396" w:rsidP="00A27EE4"/>
    <w:p w14:paraId="328DAAAA" w14:textId="4974F251" w:rsidR="000853B9" w:rsidRDefault="005D4396" w:rsidP="005D4396">
      <w:pPr>
        <w:jc w:val="both"/>
      </w:pPr>
      <w:r>
        <w:t xml:space="preserve">The common method for taking the melting point of a solid organic compound is to take a small amount of the compound in a capillary tube and place it in a </w:t>
      </w:r>
      <w:r w:rsidR="000853B9">
        <w:t>measuring apparatus</w:t>
      </w:r>
      <w:r>
        <w:t xml:space="preserve">. This </w:t>
      </w:r>
      <w:r w:rsidR="000853B9">
        <w:t xml:space="preserve">apparatus </w:t>
      </w:r>
      <w:r>
        <w:t xml:space="preserve">gradually heats the compound using a heating bath </w:t>
      </w:r>
      <w:r w:rsidR="000853B9">
        <w:t>from a set temperature</w:t>
      </w:r>
      <w:r>
        <w:t xml:space="preserve">. There is a lens to view the capillary in the heating bath to allow the scientist to determine when the solid </w:t>
      </w:r>
      <w:r w:rsidR="000853B9">
        <w:t>has</w:t>
      </w:r>
      <w:r>
        <w:t xml:space="preserve"> melted</w:t>
      </w:r>
      <w:r w:rsidR="000853B9">
        <w:t xml:space="preserve"> and thus determine the melting point</w:t>
      </w:r>
      <w:r>
        <w:t>.</w:t>
      </w:r>
    </w:p>
    <w:p w14:paraId="4577A7C1" w14:textId="3760A687" w:rsidR="000853B9" w:rsidRDefault="000853B9" w:rsidP="005D4396">
      <w:pPr>
        <w:jc w:val="both"/>
      </w:pPr>
    </w:p>
    <w:p w14:paraId="37FCDA53" w14:textId="59F68816" w:rsidR="0027103F" w:rsidRDefault="005D4396" w:rsidP="005D4396">
      <w:pPr>
        <w:jc w:val="both"/>
      </w:pPr>
      <w:r>
        <w:t xml:space="preserve"> </w:t>
      </w:r>
      <w:r w:rsidR="000853B9">
        <w:t xml:space="preserve">It is good practise to record the range the compound has melted – i.e. from when it starts to melt, to when it has completely melted. Also its </w:t>
      </w:r>
      <w:r w:rsidR="0027103F">
        <w:t>standard</w:t>
      </w:r>
      <w:r w:rsidR="000853B9">
        <w:t xml:space="preserve"> practise</w:t>
      </w:r>
      <w:r w:rsidR="0027103F" w:rsidRPr="0027103F">
        <w:t xml:space="preserve"> (</w:t>
      </w:r>
      <w:r w:rsidR="0027103F">
        <w:t xml:space="preserve">&amp; an </w:t>
      </w:r>
      <w:r w:rsidR="0027103F" w:rsidRPr="0027103F">
        <w:t>effective use of time) to carry out a rapid melting point determination initially (</w:t>
      </w:r>
      <w:r w:rsidR="0027103F">
        <w:t xml:space="preserve">i.e. </w:t>
      </w:r>
      <w:r w:rsidR="0027103F" w:rsidRPr="0027103F">
        <w:t>by heating rapidly)</w:t>
      </w:r>
      <w:r w:rsidR="0027103F">
        <w:t>,</w:t>
      </w:r>
      <w:r w:rsidR="0027103F" w:rsidRPr="0027103F">
        <w:t xml:space="preserve"> to establish an approximate melting point</w:t>
      </w:r>
      <w:r w:rsidR="0027103F">
        <w:t>.</w:t>
      </w:r>
      <w:r w:rsidR="0027103F" w:rsidRPr="0027103F">
        <w:t xml:space="preserve"> </w:t>
      </w:r>
      <w:r w:rsidR="0027103F">
        <w:t>T</w:t>
      </w:r>
      <w:r w:rsidR="0027103F" w:rsidRPr="0027103F">
        <w:t xml:space="preserve">hen </w:t>
      </w:r>
      <w:r w:rsidR="0027103F">
        <w:t xml:space="preserve">to </w:t>
      </w:r>
      <w:r w:rsidR="0027103F" w:rsidRPr="0027103F">
        <w:t xml:space="preserve">carry out at least two further determinations </w:t>
      </w:r>
      <w:r w:rsidR="0027103F">
        <w:t>through</w:t>
      </w:r>
      <w:r w:rsidR="0027103F" w:rsidRPr="0027103F">
        <w:t xml:space="preserve"> heating more </w:t>
      </w:r>
      <w:r w:rsidR="0027103F">
        <w:t xml:space="preserve">slowly </w:t>
      </w:r>
      <w:r w:rsidR="0027103F" w:rsidRPr="0027103F">
        <w:t xml:space="preserve">until two consistent </w:t>
      </w:r>
      <w:r w:rsidR="0027103F">
        <w:t xml:space="preserve">ranges have been obtained. </w:t>
      </w:r>
    </w:p>
    <w:p w14:paraId="5DD1409D" w14:textId="657E20DF" w:rsidR="00443FF7" w:rsidRDefault="00443FF7" w:rsidP="005D4396">
      <w:pPr>
        <w:jc w:val="both"/>
      </w:pPr>
    </w:p>
    <w:p w14:paraId="67BE6033" w14:textId="77777777" w:rsidR="003F0BB3" w:rsidRDefault="00443FF7" w:rsidP="003F0BB3">
      <w:pPr>
        <w:jc w:val="center"/>
        <w:rPr>
          <w:rFonts w:ascii="Times New Roman" w:eastAsia="Times New Roman" w:hAnsi="Times New Roman" w:cs="Times New Roman"/>
          <w:lang w:eastAsia="en-GB"/>
        </w:rPr>
      </w:pPr>
      <w:r w:rsidRPr="00443FF7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443FF7">
        <w:rPr>
          <w:rFonts w:ascii="Times New Roman" w:eastAsia="Times New Roman" w:hAnsi="Times New Roman" w:cs="Times New Roman"/>
          <w:lang w:eastAsia="en-GB"/>
        </w:rPr>
        <w:instrText xml:space="preserve"> INCLUDEPICTURE "https://chemistryklipz.files.wordpress.com/2017/12/mp-measure.jpg?w=778" \* MERGEFORMATINET </w:instrText>
      </w:r>
      <w:r w:rsidRPr="00443FF7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443FF7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623D5D36" wp14:editId="497CBE38">
            <wp:extent cx="3896882" cy="2923526"/>
            <wp:effectExtent l="0" t="0" r="2540" b="0"/>
            <wp:docPr id="1" name="Picture 1" descr="MP meas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P measur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6882" cy="2923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43FF7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45E26402" w14:textId="1B24A443" w:rsidR="00443FF7" w:rsidRPr="003F0BB3" w:rsidRDefault="003F0BB3" w:rsidP="003F0BB3">
      <w:pPr>
        <w:rPr>
          <w:rFonts w:ascii="Times New Roman" w:eastAsia="Times New Roman" w:hAnsi="Times New Roman" w:cs="Times New Roman"/>
          <w:lang w:eastAsia="en-GB"/>
        </w:rPr>
      </w:pPr>
      <w:r w:rsidRPr="003F0BB3">
        <w:rPr>
          <w:sz w:val="21"/>
          <w:szCs w:val="21"/>
        </w:rPr>
        <w:t xml:space="preserve">Image source; </w:t>
      </w:r>
      <w:hyperlink r:id="rId7" w:history="1">
        <w:r w:rsidRPr="003F0BB3">
          <w:rPr>
            <w:rStyle w:val="Hyperlink"/>
            <w:sz w:val="21"/>
            <w:szCs w:val="21"/>
          </w:rPr>
          <w:t>https://chemistryclinic.co.uk/1-9-melting-points-and-melting-ranges/</w:t>
        </w:r>
      </w:hyperlink>
      <w:r w:rsidRPr="003F0BB3">
        <w:rPr>
          <w:sz w:val="21"/>
          <w:szCs w:val="21"/>
        </w:rPr>
        <w:t xml:space="preserve"> </w:t>
      </w:r>
    </w:p>
    <w:p w14:paraId="3430EC9E" w14:textId="257E9906" w:rsidR="005D4396" w:rsidRDefault="005D4396" w:rsidP="00A27EE4"/>
    <w:p w14:paraId="04C14FC7" w14:textId="071E3B8B" w:rsidR="00443FF7" w:rsidRDefault="00443FF7" w:rsidP="00A27EE4"/>
    <w:p w14:paraId="2DDF0A74" w14:textId="60A0DE81" w:rsidR="00443FF7" w:rsidRDefault="00443FF7" w:rsidP="00A27EE4"/>
    <w:p w14:paraId="1684D6F4" w14:textId="0A368863" w:rsidR="00443FF7" w:rsidRDefault="00443FF7" w:rsidP="00A27EE4"/>
    <w:p w14:paraId="1A60AB15" w14:textId="00654FC7" w:rsidR="005D4396" w:rsidRDefault="005D4396" w:rsidP="00A27EE4">
      <w:pPr>
        <w:rPr>
          <w:b/>
          <w:bCs/>
        </w:rPr>
      </w:pPr>
      <w:r w:rsidRPr="0027103F">
        <w:rPr>
          <w:b/>
          <w:bCs/>
        </w:rPr>
        <w:t>Science behind</w:t>
      </w:r>
      <w:r w:rsidR="0027103F" w:rsidRPr="0027103F">
        <w:rPr>
          <w:b/>
          <w:bCs/>
        </w:rPr>
        <w:t xml:space="preserve"> a</w:t>
      </w:r>
      <w:r w:rsidRPr="0027103F">
        <w:rPr>
          <w:b/>
          <w:bCs/>
        </w:rPr>
        <w:t xml:space="preserve"> melting point</w:t>
      </w:r>
    </w:p>
    <w:p w14:paraId="49B22FDA" w14:textId="53E29EA1" w:rsidR="006674D0" w:rsidRDefault="006674D0" w:rsidP="00A27EE4">
      <w:pPr>
        <w:rPr>
          <w:b/>
          <w:bCs/>
        </w:rPr>
      </w:pPr>
    </w:p>
    <w:p w14:paraId="37EC65F3" w14:textId="07C5CAAF" w:rsidR="006674D0" w:rsidRDefault="006674D0" w:rsidP="006674D0">
      <w:pPr>
        <w:jc w:val="both"/>
      </w:pPr>
      <w:r w:rsidRPr="006674D0">
        <w:t>T</w:t>
      </w:r>
      <w:r w:rsidRPr="006674D0">
        <w:t xml:space="preserve">he temperature at which a </w:t>
      </w:r>
      <w:proofErr w:type="gramStart"/>
      <w:r w:rsidRPr="006674D0">
        <w:t>solid melts</w:t>
      </w:r>
      <w:proofErr w:type="gramEnd"/>
      <w:r w:rsidRPr="006674D0">
        <w:t xml:space="preserve"> </w:t>
      </w:r>
      <w:r>
        <w:t>to</w:t>
      </w:r>
      <w:r w:rsidRPr="006674D0">
        <w:t xml:space="preserve"> become a liquid is the melting point. </w:t>
      </w:r>
      <w:r>
        <w:t xml:space="preserve">Melting requires the intermolecular forces that hold a solid together to be broken, thus the temperature a solid compound melts will depend on the structure and the nature of it intermolecular forces. </w:t>
      </w:r>
      <w:r w:rsidR="00F2565F">
        <w:t>For example common sugar (</w:t>
      </w:r>
      <w:r w:rsidR="00F2565F" w:rsidRPr="00F2565F">
        <w:t>Sucrose</w:t>
      </w:r>
      <w:r w:rsidR="00F2565F">
        <w:t xml:space="preserve">) crystals </w:t>
      </w:r>
      <w:r w:rsidR="00B372A9">
        <w:t xml:space="preserve">are </w:t>
      </w:r>
      <w:r w:rsidR="00F2565F">
        <w:t xml:space="preserve">made up of intermolecular hydrogen bonds between the Sucrose molecules and </w:t>
      </w:r>
      <w:r w:rsidR="00B372A9">
        <w:t xml:space="preserve">have </w:t>
      </w:r>
      <w:r w:rsidR="00F2565F">
        <w:t xml:space="preserve">a melting point of 186 </w:t>
      </w:r>
      <w:proofErr w:type="spellStart"/>
      <w:r w:rsidR="00F2565F" w:rsidRPr="00F2565F">
        <w:rPr>
          <w:vertAlign w:val="superscript"/>
        </w:rPr>
        <w:t>o</w:t>
      </w:r>
      <w:r w:rsidR="00F2565F">
        <w:t>C.</w:t>
      </w:r>
      <w:proofErr w:type="spellEnd"/>
      <w:r w:rsidR="00F2565F">
        <w:t xml:space="preserve"> In comparison common salt (NaCl) </w:t>
      </w:r>
      <w:r w:rsidR="00B372A9">
        <w:t xml:space="preserve">is made up of stronger ionic bonds between the charged ions thus has a higher melting point of 800.7 </w:t>
      </w:r>
      <w:proofErr w:type="spellStart"/>
      <w:r w:rsidR="00B372A9" w:rsidRPr="00B372A9">
        <w:rPr>
          <w:vertAlign w:val="superscript"/>
        </w:rPr>
        <w:t>o</w:t>
      </w:r>
      <w:r w:rsidR="00B372A9">
        <w:t>C.</w:t>
      </w:r>
      <w:proofErr w:type="spellEnd"/>
      <w:r w:rsidR="00B372A9">
        <w:t xml:space="preserve"> </w:t>
      </w:r>
    </w:p>
    <w:p w14:paraId="794FCF04" w14:textId="0B6A3F5B" w:rsidR="003F0BB3" w:rsidRPr="002B7B30" w:rsidRDefault="003F0BB3" w:rsidP="003F0BB3">
      <w:pPr>
        <w:rPr>
          <w:rFonts w:ascii="Calibri" w:hAnsi="Calibri" w:cs="Calibri"/>
          <w:sz w:val="20"/>
          <w:szCs w:val="20"/>
        </w:rPr>
      </w:pPr>
      <w:r w:rsidRPr="003F0BB3">
        <w:rPr>
          <w:rFonts w:ascii="Times New Roman" w:eastAsia="Times New Roman" w:hAnsi="Times New Roman" w:cs="Times New Roman"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5C3DFFAC" wp14:editId="43CF952B">
            <wp:simplePos x="0" y="0"/>
            <wp:positionH relativeFrom="column">
              <wp:posOffset>777300</wp:posOffset>
            </wp:positionH>
            <wp:positionV relativeFrom="paragraph">
              <wp:posOffset>211455</wp:posOffset>
            </wp:positionV>
            <wp:extent cx="3990340" cy="3001010"/>
            <wp:effectExtent l="0" t="0" r="0" b="0"/>
            <wp:wrapTopAndBottom/>
            <wp:docPr id="4" name="Picture 4" descr="enter image description he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nter image description her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340" cy="300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0BB3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3F0BB3">
        <w:rPr>
          <w:rFonts w:ascii="Times New Roman" w:eastAsia="Times New Roman" w:hAnsi="Times New Roman" w:cs="Times New Roman"/>
          <w:lang w:eastAsia="en-GB"/>
        </w:rPr>
        <w:instrText xml:space="preserve"> INCLUDEPICTURE "https://upload.wikimedia.org/wikipedia/commons/thumb/e/e9/Sodium-chloride-3D-ionic.png/632px-Sodium-chloride-3D-ionic.png" \* MERGEFORMATINET </w:instrText>
      </w:r>
      <w:r w:rsidRPr="003F0BB3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3F0BB3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3E3DBA21" w14:textId="195E4C3E" w:rsidR="003F0BB3" w:rsidRPr="002B7B30" w:rsidRDefault="002B7B30" w:rsidP="003F0BB3">
      <w:pPr>
        <w:rPr>
          <w:rFonts w:ascii="Calibri" w:eastAsia="Times New Roman" w:hAnsi="Calibri" w:cs="Calibri"/>
          <w:sz w:val="20"/>
          <w:szCs w:val="20"/>
          <w:lang w:eastAsia="en-GB"/>
        </w:rPr>
      </w:pPr>
      <w:r w:rsidRPr="002B7B30">
        <w:rPr>
          <w:rFonts w:ascii="Calibri" w:hAnsi="Calibri" w:cs="Calibri"/>
          <w:sz w:val="20"/>
          <w:szCs w:val="20"/>
        </w:rPr>
        <w:t>C</w:t>
      </w:r>
      <w:r w:rsidRPr="002B7B30">
        <w:rPr>
          <w:rFonts w:ascii="Calibri" w:hAnsi="Calibri" w:cs="Calibri"/>
          <w:sz w:val="20"/>
          <w:szCs w:val="20"/>
        </w:rPr>
        <w:t xml:space="preserve">ommon sugar (Sucrose) </w:t>
      </w:r>
      <w:r w:rsidRPr="002B7B30">
        <w:rPr>
          <w:rFonts w:ascii="Calibri" w:hAnsi="Calibri" w:cs="Calibri"/>
          <w:sz w:val="20"/>
          <w:szCs w:val="20"/>
        </w:rPr>
        <w:t>molecules interacting through hydrogen bond</w:t>
      </w:r>
      <w:r w:rsidR="001046CE">
        <w:rPr>
          <w:rFonts w:ascii="Calibri" w:hAnsi="Calibri" w:cs="Calibri"/>
          <w:sz w:val="20"/>
          <w:szCs w:val="20"/>
        </w:rPr>
        <w:t>ing</w:t>
      </w:r>
      <w:r w:rsidRPr="002B7B30">
        <w:rPr>
          <w:rFonts w:ascii="Calibri" w:hAnsi="Calibri" w:cs="Calibri"/>
          <w:sz w:val="20"/>
          <w:szCs w:val="20"/>
        </w:rPr>
        <w:t xml:space="preserve"> (source; </w:t>
      </w:r>
      <w:hyperlink r:id="rId9" w:history="1">
        <w:r w:rsidRPr="002B7B30">
          <w:rPr>
            <w:rStyle w:val="Hyperlink"/>
            <w:rFonts w:ascii="Calibri" w:hAnsi="Calibri" w:cs="Calibri"/>
            <w:sz w:val="20"/>
            <w:szCs w:val="20"/>
          </w:rPr>
          <w:t>https://physics.stackexchange.com/questions/353904/why-does-sugar-form-a-crystal-structure</w:t>
        </w:r>
      </w:hyperlink>
      <w:r w:rsidRPr="002B7B30">
        <w:rPr>
          <w:rFonts w:ascii="Calibri" w:hAnsi="Calibri" w:cs="Calibri"/>
          <w:sz w:val="20"/>
          <w:szCs w:val="20"/>
        </w:rPr>
        <w:t>).</w:t>
      </w:r>
      <w:r w:rsidRPr="002B7B30">
        <w:rPr>
          <w:rFonts w:ascii="Calibri" w:hAnsi="Calibri" w:cs="Calibri"/>
          <w:sz w:val="20"/>
          <w:szCs w:val="20"/>
        </w:rPr>
        <w:t xml:space="preserve"> </w:t>
      </w:r>
      <w:r w:rsidR="003F0BB3" w:rsidRPr="002B7B30">
        <w:rPr>
          <w:rFonts w:ascii="Calibri" w:eastAsia="Times New Roman" w:hAnsi="Calibri" w:cs="Calibri"/>
          <w:sz w:val="20"/>
          <w:szCs w:val="20"/>
          <w:lang w:eastAsia="en-GB"/>
        </w:rPr>
        <w:fldChar w:fldCharType="begin"/>
      </w:r>
      <w:r w:rsidR="003F0BB3" w:rsidRPr="002B7B30">
        <w:rPr>
          <w:rFonts w:ascii="Calibri" w:eastAsia="Times New Roman" w:hAnsi="Calibri" w:cs="Calibri"/>
          <w:sz w:val="20"/>
          <w:szCs w:val="20"/>
          <w:lang w:eastAsia="en-GB"/>
        </w:rPr>
        <w:instrText xml:space="preserve"> INCLUDEPICTURE "/var/folders/jc/rt4vs12s5gsf4vzw6p_v9hyc0000gp/T/com.microsoft.Word/WebArchiveCopyPasteTempFiles/4LsYr.png" \* MERGEFORMATINET </w:instrText>
      </w:r>
      <w:r w:rsidR="003F0BB3" w:rsidRPr="002B7B30">
        <w:rPr>
          <w:rFonts w:ascii="Calibri" w:eastAsia="Times New Roman" w:hAnsi="Calibri" w:cs="Calibri"/>
          <w:sz w:val="20"/>
          <w:szCs w:val="20"/>
          <w:lang w:eastAsia="en-GB"/>
        </w:rPr>
        <w:fldChar w:fldCharType="separate"/>
      </w:r>
      <w:r w:rsidR="003F0BB3" w:rsidRPr="002B7B30">
        <w:rPr>
          <w:rFonts w:ascii="Calibri" w:eastAsia="Times New Roman" w:hAnsi="Calibri" w:cs="Calibri"/>
          <w:sz w:val="20"/>
          <w:szCs w:val="20"/>
          <w:lang w:eastAsia="en-GB"/>
        </w:rPr>
        <w:fldChar w:fldCharType="end"/>
      </w:r>
    </w:p>
    <w:p w14:paraId="34020FDA" w14:textId="3F750A2C" w:rsidR="002B7B30" w:rsidRDefault="002B7B30" w:rsidP="006674D0">
      <w:pPr>
        <w:jc w:val="both"/>
        <w:rPr>
          <w:rFonts w:ascii="Calibri" w:hAnsi="Calibri" w:cs="Calibri"/>
          <w:sz w:val="20"/>
          <w:szCs w:val="20"/>
        </w:rPr>
      </w:pPr>
      <w:r w:rsidRPr="002B7B30">
        <w:rPr>
          <w:rFonts w:ascii="Calibri" w:eastAsia="Times New Roman" w:hAnsi="Calibri" w:cs="Calibri"/>
          <w:noProof/>
          <w:sz w:val="20"/>
          <w:szCs w:val="20"/>
          <w:lang w:eastAsia="en-GB"/>
        </w:rPr>
        <w:drawing>
          <wp:anchor distT="0" distB="0" distL="114300" distR="114300" simplePos="0" relativeHeight="251658240" behindDoc="0" locked="0" layoutInCell="1" allowOverlap="1" wp14:anchorId="17914EF5" wp14:editId="7A7FF978">
            <wp:simplePos x="0" y="0"/>
            <wp:positionH relativeFrom="column">
              <wp:posOffset>1256030</wp:posOffset>
            </wp:positionH>
            <wp:positionV relativeFrom="paragraph">
              <wp:posOffset>176524</wp:posOffset>
            </wp:positionV>
            <wp:extent cx="3009900" cy="2853055"/>
            <wp:effectExtent l="0" t="0" r="0" b="444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853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E1B82D" w14:textId="0814201E" w:rsidR="003F0BB3" w:rsidRPr="002B7B30" w:rsidRDefault="003F0BB3" w:rsidP="006674D0">
      <w:pPr>
        <w:jc w:val="both"/>
        <w:rPr>
          <w:rFonts w:ascii="Calibri" w:hAnsi="Calibri" w:cs="Calibri"/>
          <w:sz w:val="20"/>
          <w:szCs w:val="20"/>
        </w:rPr>
      </w:pPr>
      <w:r w:rsidRPr="002B7B30">
        <w:rPr>
          <w:rFonts w:ascii="Calibri" w:hAnsi="Calibri" w:cs="Calibri"/>
          <w:sz w:val="20"/>
          <w:szCs w:val="20"/>
        </w:rPr>
        <w:t xml:space="preserve">NaOH ionic </w:t>
      </w:r>
      <w:r w:rsidR="002B7B30" w:rsidRPr="002B7B30">
        <w:rPr>
          <w:rFonts w:ascii="Calibri" w:hAnsi="Calibri" w:cs="Calibri"/>
          <w:sz w:val="20"/>
          <w:szCs w:val="20"/>
        </w:rPr>
        <w:t>crystal structure</w:t>
      </w:r>
      <w:r w:rsidR="002B7B30">
        <w:rPr>
          <w:rFonts w:ascii="Calibri" w:hAnsi="Calibri" w:cs="Calibri"/>
          <w:sz w:val="20"/>
          <w:szCs w:val="20"/>
        </w:rPr>
        <w:t>.</w:t>
      </w:r>
      <w:r w:rsidR="002B7B30" w:rsidRPr="002B7B30">
        <w:rPr>
          <w:rFonts w:ascii="Calibri" w:hAnsi="Calibri" w:cs="Calibri"/>
          <w:sz w:val="20"/>
          <w:szCs w:val="20"/>
        </w:rPr>
        <w:t xml:space="preserve"> </w:t>
      </w:r>
    </w:p>
    <w:sectPr w:rsidR="003F0BB3" w:rsidRPr="002B7B30" w:rsidSect="00271183">
      <w:footerReference w:type="default" r:id="rId11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27D9F7" w14:textId="77777777" w:rsidR="006539DF" w:rsidRDefault="006539DF" w:rsidP="003F0BB3">
      <w:r>
        <w:separator/>
      </w:r>
    </w:p>
  </w:endnote>
  <w:endnote w:type="continuationSeparator" w:id="0">
    <w:p w14:paraId="128F3C96" w14:textId="77777777" w:rsidR="006539DF" w:rsidRDefault="006539DF" w:rsidP="003F0B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5C0954" w14:textId="77777777" w:rsidR="003F0BB3" w:rsidRDefault="003F0BB3" w:rsidP="003F0BB3">
    <w:pPr>
      <w:rPr>
        <w:rFonts w:ascii="Calibri" w:hAnsi="Calibri" w:cs="Calibri"/>
        <w:sz w:val="21"/>
        <w:szCs w:val="21"/>
      </w:rPr>
    </w:pPr>
    <w:r w:rsidRPr="0090514B">
      <w:rPr>
        <w:rFonts w:ascii="Calibri" w:hAnsi="Calibri" w:cs="Calibri"/>
        <w:sz w:val="21"/>
        <w:szCs w:val="21"/>
      </w:rPr>
      <w:t xml:space="preserve">This work is licensed under the Creative Commons Attribution 4.0 International License. To view a copy of this license, visit http://creativecommons.org/licenses/by/4.0/ or send a letter to Creative Commons, PO Box 1866, Mountain View, CA 94042, USA. </w:t>
    </w:r>
  </w:p>
  <w:p w14:paraId="3FB673B8" w14:textId="5582310F" w:rsidR="003F0BB3" w:rsidRDefault="003F0BB3" w:rsidP="003F0BB3">
    <w:pPr>
      <w:jc w:val="right"/>
    </w:pPr>
    <w:r w:rsidRPr="0090514B">
      <w:fldChar w:fldCharType="begin"/>
    </w:r>
    <w:r w:rsidRPr="0090514B">
      <w:instrText xml:space="preserve"> INCLUDEPICTURE "/var/folders/jc/rt4vs12s5gsf4vzw6p_v9hyc0000gp/T/com.microsoft.Word/WebArchiveCopyPasteTempFiles/88x31.png" \* MERGEFORMATINET </w:instrText>
    </w:r>
    <w:r w:rsidRPr="0090514B">
      <w:fldChar w:fldCharType="separate"/>
    </w:r>
    <w:r w:rsidRPr="0090514B">
      <w:rPr>
        <w:noProof/>
      </w:rPr>
      <w:drawing>
        <wp:inline distT="0" distB="0" distL="0" distR="0" wp14:anchorId="7EE9DA66" wp14:editId="6C6C7C61">
          <wp:extent cx="539496" cy="190067"/>
          <wp:effectExtent l="0" t="0" r="0" b="635"/>
          <wp:docPr id="3" name="Picture 3" descr="Creative Commons Licen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reative Commons Licen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2039" cy="205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0514B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B86082" w14:textId="77777777" w:rsidR="006539DF" w:rsidRDefault="006539DF" w:rsidP="003F0BB3">
      <w:r>
        <w:separator/>
      </w:r>
    </w:p>
  </w:footnote>
  <w:footnote w:type="continuationSeparator" w:id="0">
    <w:p w14:paraId="3C70D7EC" w14:textId="77777777" w:rsidR="006539DF" w:rsidRDefault="006539DF" w:rsidP="003F0B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EE4"/>
    <w:rsid w:val="000853B9"/>
    <w:rsid w:val="001046CE"/>
    <w:rsid w:val="0027103F"/>
    <w:rsid w:val="00271183"/>
    <w:rsid w:val="002B7B30"/>
    <w:rsid w:val="003F0BB3"/>
    <w:rsid w:val="00443FF7"/>
    <w:rsid w:val="00532A90"/>
    <w:rsid w:val="005D4396"/>
    <w:rsid w:val="006539DF"/>
    <w:rsid w:val="006674D0"/>
    <w:rsid w:val="00774630"/>
    <w:rsid w:val="00775E5D"/>
    <w:rsid w:val="00791AB4"/>
    <w:rsid w:val="009C2EC5"/>
    <w:rsid w:val="00A27EE4"/>
    <w:rsid w:val="00B372A9"/>
    <w:rsid w:val="00BB1AF7"/>
    <w:rsid w:val="00F2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A41014"/>
  <w15:chartTrackingRefBased/>
  <w15:docId w15:val="{FF5D59C6-E3D2-F74A-AD16-0F269E99C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27EE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7E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3F0BB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0BB3"/>
  </w:style>
  <w:style w:type="paragraph" w:styleId="Footer">
    <w:name w:val="footer"/>
    <w:basedOn w:val="Normal"/>
    <w:link w:val="FooterChar"/>
    <w:uiPriority w:val="99"/>
    <w:unhideWhenUsed/>
    <w:rsid w:val="003F0BB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0BB3"/>
  </w:style>
  <w:style w:type="character" w:styleId="Hyperlink">
    <w:name w:val="Hyperlink"/>
    <w:basedOn w:val="DefaultParagraphFont"/>
    <w:uiPriority w:val="99"/>
    <w:unhideWhenUsed/>
    <w:rsid w:val="003F0BB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0B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101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9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chemistryclinic.co.uk/1-9-melting-points-and-melting-ranges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hyperlink" Target="https://physics.stackexchange.com/questions/353904/why-does-sugar-form-a-crystal-structure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464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Squire, Tom</dc:creator>
  <cp:keywords/>
  <dc:description/>
  <cp:lastModifiedBy>Squire, Tom</cp:lastModifiedBy>
  <cp:revision>11</cp:revision>
  <dcterms:created xsi:type="dcterms:W3CDTF">2020-05-21T10:19:00Z</dcterms:created>
  <dcterms:modified xsi:type="dcterms:W3CDTF">2020-05-21T14:08:00Z</dcterms:modified>
</cp:coreProperties>
</file>